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419A" w:rsidRPr="00924867" w:rsidRDefault="00416AD4" w:rsidP="00D25DA7">
      <w:pPr>
        <w:spacing w:after="0" w:line="240" w:lineRule="auto"/>
        <w:jc w:val="center"/>
        <w:rPr>
          <w:rFonts w:ascii="Arial" w:hAnsi="Arial" w:cs="Arial"/>
          <w:b/>
          <w:sz w:val="32"/>
          <w:szCs w:val="24"/>
          <w:lang w:val="en"/>
        </w:rPr>
      </w:pPr>
      <w:r>
        <w:rPr>
          <w:rFonts w:ascii="Arial" w:hAnsi="Arial" w:cs="Arial"/>
          <w:b/>
          <w:sz w:val="32"/>
          <w:szCs w:val="24"/>
          <w:lang w:val="en"/>
        </w:rPr>
        <w:t xml:space="preserve">Crapo Statement at SEC Oversight Hearing </w:t>
      </w:r>
    </w:p>
    <w:p w:rsidR="007D419A" w:rsidRPr="007D419A" w:rsidRDefault="007D419A" w:rsidP="00D25DA7">
      <w:pPr>
        <w:spacing w:after="0" w:line="240" w:lineRule="auto"/>
        <w:jc w:val="center"/>
        <w:rPr>
          <w:rFonts w:ascii="Arial" w:hAnsi="Arial" w:cs="Arial"/>
          <w:b/>
          <w:sz w:val="28"/>
          <w:szCs w:val="24"/>
          <w:lang w:val="en"/>
        </w:rPr>
      </w:pPr>
    </w:p>
    <w:p w:rsidR="002D3F57" w:rsidRDefault="002D3F57" w:rsidP="00D25DA7">
      <w:pPr>
        <w:spacing w:after="0" w:line="240" w:lineRule="auto"/>
        <w:rPr>
          <w:rFonts w:ascii="Arial" w:hAnsi="Arial" w:cs="Arial"/>
          <w:sz w:val="24"/>
          <w:szCs w:val="24"/>
          <w:lang w:val="en"/>
        </w:rPr>
      </w:pPr>
      <w:r w:rsidRPr="002E01AB">
        <w:rPr>
          <w:rFonts w:ascii="Arial" w:hAnsi="Arial" w:cs="Arial"/>
          <w:sz w:val="24"/>
          <w:szCs w:val="24"/>
          <w:lang w:val="en"/>
        </w:rPr>
        <w:t xml:space="preserve">WASHINGTON – U.S. Senator Mike Crapo (R-Idaho), Chairman of the United States Senate Committee on Banking, Housing and Urban Affairs, today delivered the </w:t>
      </w:r>
      <w:r w:rsidR="003D23EE">
        <w:rPr>
          <w:rFonts w:ascii="Arial" w:hAnsi="Arial" w:cs="Arial"/>
          <w:sz w:val="24"/>
          <w:szCs w:val="24"/>
          <w:lang w:val="en"/>
        </w:rPr>
        <w:t>following remarks during a full committee hearing entitled:</w:t>
      </w:r>
      <w:r w:rsidR="00416AD4" w:rsidRPr="00416AD4">
        <w:rPr>
          <w:rFonts w:ascii="Arial" w:hAnsi="Arial" w:cs="Arial"/>
          <w:sz w:val="24"/>
          <w:szCs w:val="24"/>
          <w:lang w:val="en"/>
        </w:rPr>
        <w:t xml:space="preserve"> “Oversight of the U.S. Securities and Exchange Commission.”</w:t>
      </w:r>
      <w:bookmarkStart w:id="0" w:name="_GoBack"/>
      <w:bookmarkEnd w:id="0"/>
    </w:p>
    <w:p w:rsidR="00A72C1D" w:rsidRPr="002E01AB" w:rsidRDefault="00A72C1D" w:rsidP="00D25DA7">
      <w:pPr>
        <w:spacing w:after="0" w:line="240" w:lineRule="auto"/>
        <w:rPr>
          <w:rFonts w:ascii="Arial" w:hAnsi="Arial" w:cs="Arial"/>
          <w:sz w:val="24"/>
          <w:szCs w:val="24"/>
          <w:lang w:val="en"/>
        </w:rPr>
      </w:pPr>
    </w:p>
    <w:p w:rsidR="002D3F57" w:rsidRPr="002E01AB" w:rsidRDefault="002D3F57" w:rsidP="00D25DA7">
      <w:pPr>
        <w:spacing w:after="0" w:line="240" w:lineRule="auto"/>
        <w:rPr>
          <w:rFonts w:ascii="Arial" w:hAnsi="Arial" w:cs="Arial"/>
          <w:sz w:val="24"/>
          <w:szCs w:val="24"/>
          <w:lang w:val="en"/>
        </w:rPr>
      </w:pPr>
      <w:r w:rsidRPr="002E01AB">
        <w:rPr>
          <w:rFonts w:ascii="Arial" w:hAnsi="Arial" w:cs="Arial"/>
          <w:sz w:val="24"/>
          <w:szCs w:val="24"/>
          <w:lang w:val="en"/>
        </w:rPr>
        <w:t xml:space="preserve">The text of Chairman Crapo’s remarks, as prepared, is below. </w:t>
      </w:r>
    </w:p>
    <w:p w:rsidR="007D256F" w:rsidRDefault="007D256F" w:rsidP="00D25DA7">
      <w:pPr>
        <w:spacing w:after="0" w:line="240" w:lineRule="auto"/>
        <w:rPr>
          <w:rFonts w:ascii="Arial" w:hAnsi="Arial" w:cs="Arial"/>
          <w:sz w:val="24"/>
          <w:szCs w:val="52"/>
        </w:rPr>
      </w:pPr>
    </w:p>
    <w:p w:rsidR="00416AD4" w:rsidRPr="00416AD4" w:rsidRDefault="008345F7" w:rsidP="00416AD4">
      <w:pPr>
        <w:spacing w:after="0" w:line="240" w:lineRule="auto"/>
        <w:rPr>
          <w:rFonts w:ascii="Arial" w:hAnsi="Arial" w:cs="Arial"/>
          <w:sz w:val="24"/>
          <w:szCs w:val="52"/>
        </w:rPr>
      </w:pPr>
      <w:r>
        <w:rPr>
          <w:rFonts w:ascii="Arial" w:hAnsi="Arial" w:cs="Arial"/>
          <w:sz w:val="24"/>
          <w:szCs w:val="52"/>
        </w:rPr>
        <w:t>“</w:t>
      </w:r>
      <w:r w:rsidR="00416AD4" w:rsidRPr="00416AD4">
        <w:rPr>
          <w:rFonts w:ascii="Arial" w:hAnsi="Arial" w:cs="Arial"/>
          <w:sz w:val="24"/>
          <w:szCs w:val="52"/>
        </w:rPr>
        <w:t xml:space="preserve">Today we will receive testimony from Securities and Exchange Commission Chairman Jay Clayton regarding the work and agenda of the SEC.  </w:t>
      </w:r>
    </w:p>
    <w:p w:rsidR="00416AD4" w:rsidRPr="00416AD4" w:rsidRDefault="00416AD4" w:rsidP="00416AD4">
      <w:pPr>
        <w:spacing w:after="0" w:line="240" w:lineRule="auto"/>
        <w:rPr>
          <w:rFonts w:ascii="Arial" w:hAnsi="Arial" w:cs="Arial"/>
          <w:sz w:val="24"/>
          <w:szCs w:val="52"/>
        </w:rPr>
      </w:pPr>
    </w:p>
    <w:p w:rsidR="00416AD4" w:rsidRPr="00416AD4" w:rsidRDefault="00416AD4" w:rsidP="00416AD4">
      <w:pPr>
        <w:spacing w:after="0" w:line="240" w:lineRule="auto"/>
        <w:rPr>
          <w:rFonts w:ascii="Arial" w:hAnsi="Arial" w:cs="Arial"/>
          <w:sz w:val="24"/>
          <w:szCs w:val="52"/>
        </w:rPr>
      </w:pPr>
      <w:r>
        <w:rPr>
          <w:rFonts w:ascii="Arial" w:hAnsi="Arial" w:cs="Arial"/>
          <w:sz w:val="24"/>
          <w:szCs w:val="52"/>
        </w:rPr>
        <w:t>“</w:t>
      </w:r>
      <w:r w:rsidRPr="00416AD4">
        <w:rPr>
          <w:rFonts w:ascii="Arial" w:hAnsi="Arial" w:cs="Arial"/>
          <w:sz w:val="24"/>
          <w:szCs w:val="52"/>
        </w:rPr>
        <w:t xml:space="preserve">Thank you, Chairman Clayton, for testifying today.  </w:t>
      </w:r>
    </w:p>
    <w:p w:rsidR="00416AD4" w:rsidRPr="00416AD4" w:rsidRDefault="00416AD4" w:rsidP="00416AD4">
      <w:pPr>
        <w:spacing w:after="0" w:line="240" w:lineRule="auto"/>
        <w:rPr>
          <w:rFonts w:ascii="Arial" w:hAnsi="Arial" w:cs="Arial"/>
          <w:sz w:val="24"/>
          <w:szCs w:val="52"/>
        </w:rPr>
      </w:pPr>
    </w:p>
    <w:p w:rsidR="00416AD4" w:rsidRPr="00416AD4" w:rsidRDefault="00416AD4" w:rsidP="00416AD4">
      <w:pPr>
        <w:spacing w:after="0" w:line="240" w:lineRule="auto"/>
        <w:rPr>
          <w:rFonts w:ascii="Arial" w:hAnsi="Arial" w:cs="Arial"/>
          <w:sz w:val="24"/>
          <w:szCs w:val="52"/>
        </w:rPr>
      </w:pPr>
      <w:r>
        <w:rPr>
          <w:rFonts w:ascii="Arial" w:hAnsi="Arial" w:cs="Arial"/>
          <w:sz w:val="24"/>
          <w:szCs w:val="52"/>
        </w:rPr>
        <w:t>“</w:t>
      </w:r>
      <w:r w:rsidRPr="00416AD4">
        <w:rPr>
          <w:rFonts w:ascii="Arial" w:hAnsi="Arial" w:cs="Arial"/>
          <w:sz w:val="24"/>
          <w:szCs w:val="52"/>
        </w:rPr>
        <w:t>Oversight of the SEC is a critical function of this Committee.</w:t>
      </w:r>
    </w:p>
    <w:p w:rsidR="00416AD4" w:rsidRPr="00416AD4" w:rsidRDefault="00416AD4" w:rsidP="00416AD4">
      <w:pPr>
        <w:spacing w:after="0" w:line="240" w:lineRule="auto"/>
        <w:rPr>
          <w:rFonts w:ascii="Arial" w:hAnsi="Arial" w:cs="Arial"/>
          <w:sz w:val="24"/>
          <w:szCs w:val="52"/>
        </w:rPr>
      </w:pPr>
    </w:p>
    <w:p w:rsidR="00416AD4" w:rsidRPr="00416AD4" w:rsidRDefault="00416AD4" w:rsidP="00416AD4">
      <w:pPr>
        <w:spacing w:after="0" w:line="240" w:lineRule="auto"/>
        <w:rPr>
          <w:rFonts w:ascii="Arial" w:hAnsi="Arial" w:cs="Arial"/>
          <w:sz w:val="24"/>
          <w:szCs w:val="52"/>
        </w:rPr>
      </w:pPr>
      <w:r>
        <w:rPr>
          <w:rFonts w:ascii="Arial" w:hAnsi="Arial" w:cs="Arial"/>
          <w:sz w:val="24"/>
          <w:szCs w:val="52"/>
        </w:rPr>
        <w:t>“</w:t>
      </w:r>
      <w:r w:rsidRPr="00416AD4">
        <w:rPr>
          <w:rFonts w:ascii="Arial" w:hAnsi="Arial" w:cs="Arial"/>
          <w:sz w:val="24"/>
          <w:szCs w:val="52"/>
        </w:rPr>
        <w:t>The SEC has an important three part mission: Protect investors; Maintain fair, orderly, and efficient markets; and Facilitate capital formation.</w:t>
      </w:r>
    </w:p>
    <w:p w:rsidR="00416AD4" w:rsidRPr="00416AD4" w:rsidRDefault="00416AD4" w:rsidP="00416AD4">
      <w:pPr>
        <w:spacing w:after="0" w:line="240" w:lineRule="auto"/>
        <w:rPr>
          <w:rFonts w:ascii="Arial" w:hAnsi="Arial" w:cs="Arial"/>
          <w:sz w:val="24"/>
          <w:szCs w:val="52"/>
        </w:rPr>
      </w:pPr>
    </w:p>
    <w:p w:rsidR="00416AD4" w:rsidRPr="00416AD4" w:rsidRDefault="00416AD4" w:rsidP="00416AD4">
      <w:pPr>
        <w:spacing w:after="0" w:line="240" w:lineRule="auto"/>
        <w:rPr>
          <w:rFonts w:ascii="Arial" w:hAnsi="Arial" w:cs="Arial"/>
          <w:sz w:val="24"/>
          <w:szCs w:val="52"/>
        </w:rPr>
      </w:pPr>
      <w:r>
        <w:rPr>
          <w:rFonts w:ascii="Arial" w:hAnsi="Arial" w:cs="Arial"/>
          <w:sz w:val="24"/>
          <w:szCs w:val="52"/>
        </w:rPr>
        <w:t>“</w:t>
      </w:r>
      <w:r w:rsidRPr="00416AD4">
        <w:rPr>
          <w:rFonts w:ascii="Arial" w:hAnsi="Arial" w:cs="Arial"/>
          <w:sz w:val="24"/>
          <w:szCs w:val="52"/>
        </w:rPr>
        <w:t xml:space="preserve">No one part of this mission is more important than the other.  </w:t>
      </w:r>
    </w:p>
    <w:p w:rsidR="00416AD4" w:rsidRPr="00416AD4" w:rsidRDefault="00416AD4" w:rsidP="00416AD4">
      <w:pPr>
        <w:spacing w:after="0" w:line="240" w:lineRule="auto"/>
        <w:rPr>
          <w:rFonts w:ascii="Arial" w:hAnsi="Arial" w:cs="Arial"/>
          <w:sz w:val="24"/>
          <w:szCs w:val="52"/>
        </w:rPr>
      </w:pPr>
    </w:p>
    <w:p w:rsidR="00416AD4" w:rsidRPr="00416AD4" w:rsidRDefault="00416AD4" w:rsidP="00416AD4">
      <w:pPr>
        <w:spacing w:after="0" w:line="240" w:lineRule="auto"/>
        <w:rPr>
          <w:rFonts w:ascii="Arial" w:hAnsi="Arial" w:cs="Arial"/>
          <w:sz w:val="24"/>
          <w:szCs w:val="52"/>
        </w:rPr>
      </w:pPr>
      <w:r>
        <w:rPr>
          <w:rFonts w:ascii="Arial" w:hAnsi="Arial" w:cs="Arial"/>
          <w:sz w:val="24"/>
          <w:szCs w:val="52"/>
        </w:rPr>
        <w:t>“</w:t>
      </w:r>
      <w:r w:rsidRPr="00416AD4">
        <w:rPr>
          <w:rFonts w:ascii="Arial" w:hAnsi="Arial" w:cs="Arial"/>
          <w:sz w:val="24"/>
          <w:szCs w:val="52"/>
        </w:rPr>
        <w:t xml:space="preserve">The SEC increases transparency and trust in the U.S. stock market, providing investors with the material information they need to make informed investment decisions. </w:t>
      </w:r>
    </w:p>
    <w:p w:rsidR="00416AD4" w:rsidRPr="00416AD4" w:rsidRDefault="00416AD4" w:rsidP="00416AD4">
      <w:pPr>
        <w:spacing w:after="0" w:line="240" w:lineRule="auto"/>
        <w:rPr>
          <w:rFonts w:ascii="Arial" w:hAnsi="Arial" w:cs="Arial"/>
          <w:sz w:val="24"/>
          <w:szCs w:val="52"/>
        </w:rPr>
      </w:pPr>
    </w:p>
    <w:p w:rsidR="00416AD4" w:rsidRPr="00416AD4" w:rsidRDefault="00416AD4" w:rsidP="00416AD4">
      <w:pPr>
        <w:spacing w:after="0" w:line="240" w:lineRule="auto"/>
        <w:rPr>
          <w:rFonts w:ascii="Arial" w:hAnsi="Arial" w:cs="Arial"/>
          <w:sz w:val="24"/>
          <w:szCs w:val="52"/>
        </w:rPr>
      </w:pPr>
      <w:r>
        <w:rPr>
          <w:rFonts w:ascii="Arial" w:hAnsi="Arial" w:cs="Arial"/>
          <w:sz w:val="24"/>
          <w:szCs w:val="52"/>
        </w:rPr>
        <w:t>“</w:t>
      </w:r>
      <w:r w:rsidRPr="00416AD4">
        <w:rPr>
          <w:rFonts w:ascii="Arial" w:hAnsi="Arial" w:cs="Arial"/>
          <w:sz w:val="24"/>
          <w:szCs w:val="52"/>
        </w:rPr>
        <w:t xml:space="preserve">It also helps investors participate in our markets on fair footing so that they can prepare for important milestones in their lives, such as college, retirement, or other life-changing events. </w:t>
      </w:r>
    </w:p>
    <w:p w:rsidR="00416AD4" w:rsidRPr="00416AD4" w:rsidRDefault="00416AD4" w:rsidP="00416AD4">
      <w:pPr>
        <w:spacing w:after="0" w:line="240" w:lineRule="auto"/>
        <w:rPr>
          <w:rFonts w:ascii="Arial" w:hAnsi="Arial" w:cs="Arial"/>
          <w:sz w:val="24"/>
          <w:szCs w:val="52"/>
        </w:rPr>
      </w:pPr>
    </w:p>
    <w:p w:rsidR="00416AD4" w:rsidRPr="00416AD4" w:rsidRDefault="00416AD4" w:rsidP="00416AD4">
      <w:pPr>
        <w:spacing w:after="0" w:line="240" w:lineRule="auto"/>
        <w:rPr>
          <w:rFonts w:ascii="Arial" w:hAnsi="Arial" w:cs="Arial"/>
          <w:sz w:val="24"/>
          <w:szCs w:val="52"/>
        </w:rPr>
      </w:pPr>
      <w:r>
        <w:rPr>
          <w:rFonts w:ascii="Arial" w:hAnsi="Arial" w:cs="Arial"/>
          <w:sz w:val="24"/>
          <w:szCs w:val="52"/>
        </w:rPr>
        <w:t>“</w:t>
      </w:r>
      <w:r w:rsidRPr="00416AD4">
        <w:rPr>
          <w:rFonts w:ascii="Arial" w:hAnsi="Arial" w:cs="Arial"/>
          <w:sz w:val="24"/>
          <w:szCs w:val="52"/>
        </w:rPr>
        <w:t>It is critical that the SEC continue its important work to fulfill this mission.</w:t>
      </w:r>
    </w:p>
    <w:p w:rsidR="00416AD4" w:rsidRPr="00416AD4" w:rsidRDefault="00416AD4" w:rsidP="00416AD4">
      <w:pPr>
        <w:spacing w:after="0" w:line="240" w:lineRule="auto"/>
        <w:rPr>
          <w:rFonts w:ascii="Arial" w:hAnsi="Arial" w:cs="Arial"/>
          <w:sz w:val="24"/>
          <w:szCs w:val="52"/>
        </w:rPr>
      </w:pPr>
    </w:p>
    <w:p w:rsidR="00416AD4" w:rsidRPr="00416AD4" w:rsidRDefault="00416AD4" w:rsidP="00416AD4">
      <w:pPr>
        <w:spacing w:after="0" w:line="240" w:lineRule="auto"/>
        <w:rPr>
          <w:rFonts w:ascii="Arial" w:hAnsi="Arial" w:cs="Arial"/>
          <w:sz w:val="24"/>
          <w:szCs w:val="52"/>
        </w:rPr>
      </w:pPr>
      <w:r>
        <w:rPr>
          <w:rFonts w:ascii="Arial" w:hAnsi="Arial" w:cs="Arial"/>
          <w:sz w:val="24"/>
          <w:szCs w:val="52"/>
        </w:rPr>
        <w:t>“</w:t>
      </w:r>
      <w:r w:rsidRPr="00416AD4">
        <w:rPr>
          <w:rFonts w:ascii="Arial" w:hAnsi="Arial" w:cs="Arial"/>
          <w:sz w:val="24"/>
          <w:szCs w:val="52"/>
        </w:rPr>
        <w:t>At the same time, the SEC must be cognizant that its work may carry risks to the very markets and investors it seeks to help.</w:t>
      </w:r>
    </w:p>
    <w:p w:rsidR="00416AD4" w:rsidRPr="00416AD4" w:rsidRDefault="00416AD4" w:rsidP="00416AD4">
      <w:pPr>
        <w:spacing w:after="0" w:line="240" w:lineRule="auto"/>
        <w:rPr>
          <w:rFonts w:ascii="Arial" w:hAnsi="Arial" w:cs="Arial"/>
          <w:sz w:val="24"/>
          <w:szCs w:val="52"/>
        </w:rPr>
      </w:pPr>
    </w:p>
    <w:p w:rsidR="00416AD4" w:rsidRPr="00416AD4" w:rsidRDefault="00416AD4" w:rsidP="00416AD4">
      <w:pPr>
        <w:spacing w:after="0" w:line="240" w:lineRule="auto"/>
        <w:rPr>
          <w:rFonts w:ascii="Arial" w:hAnsi="Arial" w:cs="Arial"/>
          <w:sz w:val="24"/>
          <w:szCs w:val="52"/>
        </w:rPr>
      </w:pPr>
      <w:r>
        <w:rPr>
          <w:rFonts w:ascii="Arial" w:hAnsi="Arial" w:cs="Arial"/>
          <w:sz w:val="24"/>
          <w:szCs w:val="52"/>
        </w:rPr>
        <w:t>“</w:t>
      </w:r>
      <w:r w:rsidRPr="00416AD4">
        <w:rPr>
          <w:rFonts w:ascii="Arial" w:hAnsi="Arial" w:cs="Arial"/>
          <w:sz w:val="24"/>
          <w:szCs w:val="52"/>
        </w:rPr>
        <w:t>I commend you for initiating an assessment of the SEC’s cybersecurity risk profile.</w:t>
      </w:r>
    </w:p>
    <w:p w:rsidR="00416AD4" w:rsidRPr="00416AD4" w:rsidRDefault="00416AD4" w:rsidP="00416AD4">
      <w:pPr>
        <w:spacing w:after="0" w:line="240" w:lineRule="auto"/>
        <w:rPr>
          <w:rFonts w:ascii="Arial" w:hAnsi="Arial" w:cs="Arial"/>
          <w:sz w:val="24"/>
          <w:szCs w:val="52"/>
        </w:rPr>
      </w:pPr>
    </w:p>
    <w:p w:rsidR="00416AD4" w:rsidRPr="00416AD4" w:rsidRDefault="00416AD4" w:rsidP="00416AD4">
      <w:pPr>
        <w:spacing w:after="0" w:line="240" w:lineRule="auto"/>
        <w:rPr>
          <w:rFonts w:ascii="Arial" w:hAnsi="Arial" w:cs="Arial"/>
          <w:sz w:val="24"/>
          <w:szCs w:val="52"/>
        </w:rPr>
      </w:pPr>
      <w:r>
        <w:rPr>
          <w:rFonts w:ascii="Arial" w:hAnsi="Arial" w:cs="Arial"/>
          <w:sz w:val="24"/>
          <w:szCs w:val="52"/>
        </w:rPr>
        <w:t>“</w:t>
      </w:r>
      <w:r w:rsidRPr="00416AD4">
        <w:rPr>
          <w:rFonts w:ascii="Arial" w:hAnsi="Arial" w:cs="Arial"/>
          <w:sz w:val="24"/>
          <w:szCs w:val="52"/>
        </w:rPr>
        <w:t xml:space="preserve">The Commission accesses and stores a huge amount of public and nonpublic data.  </w:t>
      </w:r>
    </w:p>
    <w:p w:rsidR="00416AD4" w:rsidRPr="00416AD4" w:rsidRDefault="00416AD4" w:rsidP="00416AD4">
      <w:pPr>
        <w:spacing w:after="0" w:line="240" w:lineRule="auto"/>
        <w:rPr>
          <w:rFonts w:ascii="Arial" w:hAnsi="Arial" w:cs="Arial"/>
          <w:sz w:val="24"/>
          <w:szCs w:val="52"/>
        </w:rPr>
      </w:pPr>
    </w:p>
    <w:p w:rsidR="00416AD4" w:rsidRPr="00416AD4" w:rsidRDefault="00416AD4" w:rsidP="00416AD4">
      <w:pPr>
        <w:spacing w:after="0" w:line="240" w:lineRule="auto"/>
        <w:rPr>
          <w:rFonts w:ascii="Arial" w:hAnsi="Arial" w:cs="Arial"/>
          <w:sz w:val="24"/>
          <w:szCs w:val="52"/>
        </w:rPr>
      </w:pPr>
      <w:r>
        <w:rPr>
          <w:rFonts w:ascii="Arial" w:hAnsi="Arial" w:cs="Arial"/>
          <w:sz w:val="24"/>
          <w:szCs w:val="52"/>
        </w:rPr>
        <w:t>“</w:t>
      </w:r>
      <w:r w:rsidRPr="00416AD4">
        <w:rPr>
          <w:rFonts w:ascii="Arial" w:hAnsi="Arial" w:cs="Arial"/>
          <w:sz w:val="24"/>
          <w:szCs w:val="52"/>
        </w:rPr>
        <w:t>If this data were subject to a cyber-breach, it could have severe consequences to the markets, market participants and the American public.</w:t>
      </w:r>
    </w:p>
    <w:p w:rsidR="00416AD4" w:rsidRPr="00416AD4" w:rsidRDefault="00416AD4" w:rsidP="00416AD4">
      <w:pPr>
        <w:spacing w:after="0" w:line="240" w:lineRule="auto"/>
        <w:rPr>
          <w:rFonts w:ascii="Arial" w:hAnsi="Arial" w:cs="Arial"/>
          <w:sz w:val="24"/>
          <w:szCs w:val="52"/>
        </w:rPr>
      </w:pPr>
    </w:p>
    <w:p w:rsidR="00416AD4" w:rsidRPr="00416AD4" w:rsidRDefault="00416AD4" w:rsidP="00416AD4">
      <w:pPr>
        <w:spacing w:after="0" w:line="240" w:lineRule="auto"/>
        <w:rPr>
          <w:rFonts w:ascii="Arial" w:hAnsi="Arial" w:cs="Arial"/>
          <w:sz w:val="24"/>
          <w:szCs w:val="52"/>
        </w:rPr>
      </w:pPr>
      <w:r>
        <w:rPr>
          <w:rFonts w:ascii="Arial" w:hAnsi="Arial" w:cs="Arial"/>
          <w:sz w:val="24"/>
          <w:szCs w:val="52"/>
        </w:rPr>
        <w:t>“</w:t>
      </w:r>
      <w:r w:rsidRPr="00416AD4">
        <w:rPr>
          <w:rFonts w:ascii="Arial" w:hAnsi="Arial" w:cs="Arial"/>
          <w:sz w:val="24"/>
          <w:szCs w:val="52"/>
        </w:rPr>
        <w:t>I was disturbed to learn that the SEC suffered a cyber-breach of its EDGAR system in 2016, but did not notify the public, or even all of its Commissioners, until it was discovered during your recent review.</w:t>
      </w:r>
    </w:p>
    <w:p w:rsidR="00416AD4" w:rsidRPr="00416AD4" w:rsidRDefault="00416AD4" w:rsidP="00416AD4">
      <w:pPr>
        <w:spacing w:after="0" w:line="240" w:lineRule="auto"/>
        <w:rPr>
          <w:rFonts w:ascii="Arial" w:hAnsi="Arial" w:cs="Arial"/>
          <w:sz w:val="24"/>
          <w:szCs w:val="52"/>
        </w:rPr>
      </w:pPr>
    </w:p>
    <w:p w:rsidR="00416AD4" w:rsidRPr="00416AD4" w:rsidRDefault="00416AD4" w:rsidP="00416AD4">
      <w:pPr>
        <w:spacing w:after="0" w:line="240" w:lineRule="auto"/>
        <w:rPr>
          <w:rFonts w:ascii="Arial" w:hAnsi="Arial" w:cs="Arial"/>
          <w:sz w:val="24"/>
          <w:szCs w:val="52"/>
        </w:rPr>
      </w:pPr>
      <w:r>
        <w:rPr>
          <w:rFonts w:ascii="Arial" w:hAnsi="Arial" w:cs="Arial"/>
          <w:sz w:val="24"/>
          <w:szCs w:val="52"/>
        </w:rPr>
        <w:t>“</w:t>
      </w:r>
      <w:r w:rsidRPr="00416AD4">
        <w:rPr>
          <w:rFonts w:ascii="Arial" w:hAnsi="Arial" w:cs="Arial"/>
          <w:sz w:val="24"/>
          <w:szCs w:val="52"/>
        </w:rPr>
        <w:t>It is critical that the SEC safeguards the data it collects and maintains – especially as the consolidated audit trail, or CAT, becomes operational.</w:t>
      </w:r>
    </w:p>
    <w:p w:rsidR="00416AD4" w:rsidRPr="00416AD4" w:rsidRDefault="00416AD4" w:rsidP="00416AD4">
      <w:pPr>
        <w:spacing w:after="0" w:line="240" w:lineRule="auto"/>
        <w:rPr>
          <w:rFonts w:ascii="Arial" w:hAnsi="Arial" w:cs="Arial"/>
          <w:sz w:val="24"/>
          <w:szCs w:val="52"/>
        </w:rPr>
      </w:pPr>
    </w:p>
    <w:p w:rsidR="00416AD4" w:rsidRPr="00416AD4" w:rsidRDefault="00416AD4" w:rsidP="00416AD4">
      <w:pPr>
        <w:spacing w:after="0" w:line="240" w:lineRule="auto"/>
        <w:rPr>
          <w:rFonts w:ascii="Arial" w:hAnsi="Arial" w:cs="Arial"/>
          <w:sz w:val="24"/>
          <w:szCs w:val="52"/>
        </w:rPr>
      </w:pPr>
      <w:r>
        <w:rPr>
          <w:rFonts w:ascii="Arial" w:hAnsi="Arial" w:cs="Arial"/>
          <w:sz w:val="24"/>
          <w:szCs w:val="52"/>
        </w:rPr>
        <w:t>“</w:t>
      </w:r>
      <w:r w:rsidRPr="00416AD4">
        <w:rPr>
          <w:rFonts w:ascii="Arial" w:hAnsi="Arial" w:cs="Arial"/>
          <w:sz w:val="24"/>
          <w:szCs w:val="52"/>
        </w:rPr>
        <w:t>Through the CAT, the SEC will have access to significant nonpublic market data and personal identifiable information – including individuals’ names, addresses, dates of birth, and social security numbers.</w:t>
      </w:r>
    </w:p>
    <w:p w:rsidR="00416AD4" w:rsidRPr="00416AD4" w:rsidRDefault="00416AD4" w:rsidP="00416AD4">
      <w:pPr>
        <w:spacing w:after="0" w:line="240" w:lineRule="auto"/>
        <w:rPr>
          <w:rFonts w:ascii="Arial" w:hAnsi="Arial" w:cs="Arial"/>
          <w:sz w:val="24"/>
          <w:szCs w:val="52"/>
        </w:rPr>
      </w:pPr>
    </w:p>
    <w:p w:rsidR="00416AD4" w:rsidRPr="00416AD4" w:rsidRDefault="00416AD4" w:rsidP="00416AD4">
      <w:pPr>
        <w:spacing w:after="0" w:line="240" w:lineRule="auto"/>
        <w:rPr>
          <w:rFonts w:ascii="Arial" w:hAnsi="Arial" w:cs="Arial"/>
          <w:sz w:val="24"/>
          <w:szCs w:val="52"/>
        </w:rPr>
      </w:pPr>
      <w:r>
        <w:rPr>
          <w:rFonts w:ascii="Arial" w:hAnsi="Arial" w:cs="Arial"/>
          <w:sz w:val="24"/>
          <w:szCs w:val="52"/>
        </w:rPr>
        <w:t>“</w:t>
      </w:r>
      <w:r w:rsidRPr="00416AD4">
        <w:rPr>
          <w:rFonts w:ascii="Arial" w:hAnsi="Arial" w:cs="Arial"/>
          <w:sz w:val="24"/>
          <w:szCs w:val="52"/>
        </w:rPr>
        <w:t>The recent Equifax breach has highlighted the need to protect this sensitive and valuable information.</w:t>
      </w:r>
    </w:p>
    <w:p w:rsidR="00416AD4" w:rsidRPr="00416AD4" w:rsidRDefault="00416AD4" w:rsidP="00416AD4">
      <w:pPr>
        <w:spacing w:after="0" w:line="240" w:lineRule="auto"/>
        <w:rPr>
          <w:rFonts w:ascii="Arial" w:hAnsi="Arial" w:cs="Arial"/>
          <w:sz w:val="24"/>
          <w:szCs w:val="52"/>
        </w:rPr>
      </w:pPr>
    </w:p>
    <w:p w:rsidR="00416AD4" w:rsidRPr="00416AD4" w:rsidRDefault="00416AD4" w:rsidP="00416AD4">
      <w:pPr>
        <w:spacing w:after="0" w:line="240" w:lineRule="auto"/>
        <w:rPr>
          <w:rFonts w:ascii="Arial" w:hAnsi="Arial" w:cs="Arial"/>
          <w:sz w:val="24"/>
          <w:szCs w:val="52"/>
        </w:rPr>
      </w:pPr>
      <w:r>
        <w:rPr>
          <w:rFonts w:ascii="Arial" w:hAnsi="Arial" w:cs="Arial"/>
          <w:sz w:val="24"/>
          <w:szCs w:val="52"/>
        </w:rPr>
        <w:t>“</w:t>
      </w:r>
      <w:r w:rsidRPr="00416AD4">
        <w:rPr>
          <w:rFonts w:ascii="Arial" w:hAnsi="Arial" w:cs="Arial"/>
          <w:sz w:val="24"/>
          <w:szCs w:val="52"/>
        </w:rPr>
        <w:t>We need to ensure that entities only collect this type of information if and when absolutely necessary – and if it is collected, that it is properly secured.</w:t>
      </w:r>
    </w:p>
    <w:p w:rsidR="00416AD4" w:rsidRPr="00416AD4" w:rsidRDefault="00416AD4" w:rsidP="00416AD4">
      <w:pPr>
        <w:spacing w:after="0" w:line="240" w:lineRule="auto"/>
        <w:rPr>
          <w:rFonts w:ascii="Arial" w:hAnsi="Arial" w:cs="Arial"/>
          <w:sz w:val="24"/>
          <w:szCs w:val="52"/>
        </w:rPr>
      </w:pPr>
    </w:p>
    <w:p w:rsidR="00416AD4" w:rsidRPr="00416AD4" w:rsidRDefault="00416AD4" w:rsidP="00416AD4">
      <w:pPr>
        <w:spacing w:after="0" w:line="240" w:lineRule="auto"/>
        <w:rPr>
          <w:rFonts w:ascii="Arial" w:hAnsi="Arial" w:cs="Arial"/>
          <w:sz w:val="24"/>
          <w:szCs w:val="52"/>
        </w:rPr>
      </w:pPr>
      <w:r>
        <w:rPr>
          <w:rFonts w:ascii="Arial" w:hAnsi="Arial" w:cs="Arial"/>
          <w:sz w:val="24"/>
          <w:szCs w:val="52"/>
        </w:rPr>
        <w:t>“</w:t>
      </w:r>
      <w:r w:rsidRPr="00416AD4">
        <w:rPr>
          <w:rFonts w:ascii="Arial" w:hAnsi="Arial" w:cs="Arial"/>
          <w:sz w:val="24"/>
          <w:szCs w:val="52"/>
        </w:rPr>
        <w:t>I am glad to see that under your leadership, Chairman Clayton, the SEC is taking cybersecurity seriously.</w:t>
      </w:r>
    </w:p>
    <w:p w:rsidR="00416AD4" w:rsidRDefault="00416AD4" w:rsidP="00416AD4">
      <w:pPr>
        <w:spacing w:after="0" w:line="240" w:lineRule="auto"/>
        <w:rPr>
          <w:rFonts w:ascii="Arial" w:hAnsi="Arial" w:cs="Arial"/>
          <w:sz w:val="24"/>
          <w:szCs w:val="52"/>
        </w:rPr>
      </w:pPr>
    </w:p>
    <w:p w:rsidR="00416AD4" w:rsidRPr="00416AD4" w:rsidRDefault="00416AD4" w:rsidP="00416AD4">
      <w:pPr>
        <w:spacing w:after="0" w:line="240" w:lineRule="auto"/>
        <w:rPr>
          <w:rFonts w:ascii="Arial" w:hAnsi="Arial" w:cs="Arial"/>
          <w:sz w:val="24"/>
          <w:szCs w:val="52"/>
        </w:rPr>
      </w:pPr>
      <w:r>
        <w:rPr>
          <w:rFonts w:ascii="Arial" w:hAnsi="Arial" w:cs="Arial"/>
          <w:sz w:val="24"/>
          <w:szCs w:val="52"/>
        </w:rPr>
        <w:t>“</w:t>
      </w:r>
      <w:r w:rsidRPr="00416AD4">
        <w:rPr>
          <w:rFonts w:ascii="Arial" w:hAnsi="Arial" w:cs="Arial"/>
          <w:sz w:val="24"/>
          <w:szCs w:val="52"/>
        </w:rPr>
        <w:t>Other regulators and agencies should follow your lead and delineate their own cyber risk profiles and if breached, they too should disclose such events to Congress and the public.</w:t>
      </w:r>
    </w:p>
    <w:p w:rsidR="00416AD4" w:rsidRDefault="00416AD4" w:rsidP="00416AD4">
      <w:pPr>
        <w:spacing w:after="0" w:line="240" w:lineRule="auto"/>
        <w:rPr>
          <w:rFonts w:ascii="Arial" w:hAnsi="Arial" w:cs="Arial"/>
          <w:sz w:val="24"/>
          <w:szCs w:val="52"/>
        </w:rPr>
      </w:pPr>
    </w:p>
    <w:p w:rsidR="00416AD4" w:rsidRPr="00416AD4" w:rsidRDefault="00416AD4" w:rsidP="00416AD4">
      <w:pPr>
        <w:spacing w:after="0" w:line="240" w:lineRule="auto"/>
        <w:rPr>
          <w:rFonts w:ascii="Arial" w:hAnsi="Arial" w:cs="Arial"/>
          <w:sz w:val="24"/>
          <w:szCs w:val="52"/>
        </w:rPr>
      </w:pPr>
      <w:r>
        <w:rPr>
          <w:rFonts w:ascii="Arial" w:hAnsi="Arial" w:cs="Arial"/>
          <w:sz w:val="24"/>
          <w:szCs w:val="52"/>
        </w:rPr>
        <w:t>“</w:t>
      </w:r>
      <w:r w:rsidRPr="00416AD4">
        <w:rPr>
          <w:rFonts w:ascii="Arial" w:hAnsi="Arial" w:cs="Arial"/>
          <w:sz w:val="24"/>
          <w:szCs w:val="52"/>
        </w:rPr>
        <w:t>Cyber-attacks and breaches are a significant risk at all entities – both regulators and companies.</w:t>
      </w:r>
    </w:p>
    <w:p w:rsidR="00416AD4" w:rsidRPr="00416AD4" w:rsidRDefault="00416AD4" w:rsidP="00416AD4">
      <w:pPr>
        <w:spacing w:after="0" w:line="240" w:lineRule="auto"/>
        <w:rPr>
          <w:rFonts w:ascii="Arial" w:hAnsi="Arial" w:cs="Arial"/>
          <w:sz w:val="24"/>
          <w:szCs w:val="52"/>
        </w:rPr>
      </w:pPr>
    </w:p>
    <w:p w:rsidR="00416AD4" w:rsidRPr="00416AD4" w:rsidRDefault="00416AD4" w:rsidP="00416AD4">
      <w:pPr>
        <w:spacing w:after="0" w:line="240" w:lineRule="auto"/>
        <w:rPr>
          <w:rFonts w:ascii="Arial" w:hAnsi="Arial" w:cs="Arial"/>
          <w:sz w:val="24"/>
          <w:szCs w:val="52"/>
        </w:rPr>
      </w:pPr>
      <w:r>
        <w:rPr>
          <w:rFonts w:ascii="Arial" w:hAnsi="Arial" w:cs="Arial"/>
          <w:sz w:val="24"/>
          <w:szCs w:val="52"/>
        </w:rPr>
        <w:t>“</w:t>
      </w:r>
      <w:r w:rsidRPr="00416AD4">
        <w:rPr>
          <w:rFonts w:ascii="Arial" w:hAnsi="Arial" w:cs="Arial"/>
          <w:sz w:val="24"/>
          <w:szCs w:val="52"/>
        </w:rPr>
        <w:t xml:space="preserve">As part of your work in the cybersecurity area, you should also review current cyber risk disclosure guidance to ensure that investors understand the magnitude and complexity of cyber risks at public companies.    </w:t>
      </w:r>
    </w:p>
    <w:p w:rsidR="00416AD4" w:rsidRPr="00416AD4" w:rsidRDefault="00416AD4" w:rsidP="00416AD4">
      <w:pPr>
        <w:spacing w:after="0" w:line="240" w:lineRule="auto"/>
        <w:rPr>
          <w:rFonts w:ascii="Arial" w:hAnsi="Arial" w:cs="Arial"/>
          <w:sz w:val="24"/>
          <w:szCs w:val="52"/>
        </w:rPr>
      </w:pPr>
    </w:p>
    <w:p w:rsidR="00416AD4" w:rsidRPr="00416AD4" w:rsidRDefault="00416AD4" w:rsidP="00416AD4">
      <w:pPr>
        <w:spacing w:after="0" w:line="240" w:lineRule="auto"/>
        <w:rPr>
          <w:rFonts w:ascii="Arial" w:hAnsi="Arial" w:cs="Arial"/>
          <w:sz w:val="24"/>
          <w:szCs w:val="52"/>
        </w:rPr>
      </w:pPr>
      <w:r>
        <w:rPr>
          <w:rFonts w:ascii="Arial" w:hAnsi="Arial" w:cs="Arial"/>
          <w:sz w:val="24"/>
          <w:szCs w:val="52"/>
        </w:rPr>
        <w:t>“</w:t>
      </w:r>
      <w:r w:rsidRPr="00416AD4">
        <w:rPr>
          <w:rFonts w:ascii="Arial" w:hAnsi="Arial" w:cs="Arial"/>
          <w:sz w:val="24"/>
          <w:szCs w:val="52"/>
        </w:rPr>
        <w:t xml:space="preserve">Along with your attention to cyber, I appreciate your focus on the standards of conduct for investment advisers and broker-dealers.  </w:t>
      </w:r>
    </w:p>
    <w:p w:rsidR="00416AD4" w:rsidRPr="00416AD4" w:rsidRDefault="00416AD4" w:rsidP="00416AD4">
      <w:pPr>
        <w:spacing w:after="0" w:line="240" w:lineRule="auto"/>
        <w:rPr>
          <w:rFonts w:ascii="Arial" w:hAnsi="Arial" w:cs="Arial"/>
          <w:sz w:val="24"/>
          <w:szCs w:val="52"/>
        </w:rPr>
      </w:pPr>
    </w:p>
    <w:p w:rsidR="00416AD4" w:rsidRPr="00416AD4" w:rsidRDefault="00416AD4" w:rsidP="00416AD4">
      <w:pPr>
        <w:spacing w:after="0" w:line="240" w:lineRule="auto"/>
        <w:rPr>
          <w:rFonts w:ascii="Arial" w:hAnsi="Arial" w:cs="Arial"/>
          <w:sz w:val="24"/>
          <w:szCs w:val="52"/>
        </w:rPr>
      </w:pPr>
      <w:r>
        <w:rPr>
          <w:rFonts w:ascii="Arial" w:hAnsi="Arial" w:cs="Arial"/>
          <w:sz w:val="24"/>
          <w:szCs w:val="52"/>
        </w:rPr>
        <w:t>“</w:t>
      </w:r>
      <w:r w:rsidRPr="00416AD4">
        <w:rPr>
          <w:rFonts w:ascii="Arial" w:hAnsi="Arial" w:cs="Arial"/>
          <w:sz w:val="24"/>
          <w:szCs w:val="52"/>
        </w:rPr>
        <w:t xml:space="preserve">The DOL fiduciary rule will limit investor choice, make investing more expensive for many Americans and ultimately hurt the ability for people to save for retirement.  </w:t>
      </w:r>
    </w:p>
    <w:p w:rsidR="00416AD4" w:rsidRPr="00416AD4" w:rsidRDefault="00416AD4" w:rsidP="00416AD4">
      <w:pPr>
        <w:spacing w:after="0" w:line="240" w:lineRule="auto"/>
        <w:rPr>
          <w:rFonts w:ascii="Arial" w:hAnsi="Arial" w:cs="Arial"/>
          <w:sz w:val="24"/>
          <w:szCs w:val="52"/>
        </w:rPr>
      </w:pPr>
    </w:p>
    <w:p w:rsidR="00416AD4" w:rsidRPr="00416AD4" w:rsidRDefault="00416AD4" w:rsidP="00416AD4">
      <w:pPr>
        <w:spacing w:after="0" w:line="240" w:lineRule="auto"/>
        <w:rPr>
          <w:rFonts w:ascii="Arial" w:hAnsi="Arial" w:cs="Arial"/>
          <w:sz w:val="24"/>
          <w:szCs w:val="52"/>
        </w:rPr>
      </w:pPr>
      <w:r>
        <w:rPr>
          <w:rFonts w:ascii="Arial" w:hAnsi="Arial" w:cs="Arial"/>
          <w:sz w:val="24"/>
          <w:szCs w:val="52"/>
        </w:rPr>
        <w:t>“</w:t>
      </w:r>
      <w:r w:rsidRPr="00416AD4">
        <w:rPr>
          <w:rFonts w:ascii="Arial" w:hAnsi="Arial" w:cs="Arial"/>
          <w:sz w:val="24"/>
          <w:szCs w:val="52"/>
        </w:rPr>
        <w:t xml:space="preserve">If clarification needs to be made about the standards of conduct for broker-dealers and investment advisers, I believe the SEC has the most expertise and is best positioned to establish a consistent standard for all investors. </w:t>
      </w:r>
    </w:p>
    <w:p w:rsidR="00416AD4" w:rsidRPr="00416AD4" w:rsidRDefault="00416AD4" w:rsidP="00416AD4">
      <w:pPr>
        <w:spacing w:after="0" w:line="240" w:lineRule="auto"/>
        <w:rPr>
          <w:rFonts w:ascii="Arial" w:hAnsi="Arial" w:cs="Arial"/>
          <w:sz w:val="24"/>
          <w:szCs w:val="52"/>
        </w:rPr>
      </w:pPr>
    </w:p>
    <w:p w:rsidR="00416AD4" w:rsidRPr="00416AD4" w:rsidRDefault="00416AD4" w:rsidP="00416AD4">
      <w:pPr>
        <w:spacing w:after="0" w:line="240" w:lineRule="auto"/>
        <w:rPr>
          <w:rFonts w:ascii="Arial" w:hAnsi="Arial" w:cs="Arial"/>
          <w:sz w:val="24"/>
          <w:szCs w:val="52"/>
        </w:rPr>
      </w:pPr>
      <w:r>
        <w:rPr>
          <w:rFonts w:ascii="Arial" w:hAnsi="Arial" w:cs="Arial"/>
          <w:sz w:val="24"/>
          <w:szCs w:val="52"/>
        </w:rPr>
        <w:t>“</w:t>
      </w:r>
      <w:r w:rsidRPr="00416AD4">
        <w:rPr>
          <w:rFonts w:ascii="Arial" w:hAnsi="Arial" w:cs="Arial"/>
          <w:sz w:val="24"/>
          <w:szCs w:val="52"/>
        </w:rPr>
        <w:t>I also appreciate your focus and public discussions on the importance of encouraging capital formation.</w:t>
      </w:r>
    </w:p>
    <w:p w:rsidR="00416AD4" w:rsidRPr="00416AD4" w:rsidRDefault="00416AD4" w:rsidP="00416AD4">
      <w:pPr>
        <w:spacing w:after="0" w:line="240" w:lineRule="auto"/>
        <w:rPr>
          <w:rFonts w:ascii="Arial" w:hAnsi="Arial" w:cs="Arial"/>
          <w:sz w:val="24"/>
          <w:szCs w:val="52"/>
        </w:rPr>
      </w:pPr>
    </w:p>
    <w:p w:rsidR="00416AD4" w:rsidRPr="00416AD4" w:rsidRDefault="00416AD4" w:rsidP="00416AD4">
      <w:pPr>
        <w:spacing w:after="0" w:line="240" w:lineRule="auto"/>
        <w:rPr>
          <w:rFonts w:ascii="Arial" w:hAnsi="Arial" w:cs="Arial"/>
          <w:sz w:val="24"/>
          <w:szCs w:val="52"/>
        </w:rPr>
      </w:pPr>
      <w:r>
        <w:rPr>
          <w:rFonts w:ascii="Arial" w:hAnsi="Arial" w:cs="Arial"/>
          <w:sz w:val="24"/>
          <w:szCs w:val="52"/>
        </w:rPr>
        <w:t>“</w:t>
      </w:r>
      <w:r w:rsidRPr="00416AD4">
        <w:rPr>
          <w:rFonts w:ascii="Arial" w:hAnsi="Arial" w:cs="Arial"/>
          <w:sz w:val="24"/>
          <w:szCs w:val="52"/>
        </w:rPr>
        <w:t xml:space="preserve">The capital markets are essential to helping companies grow, facilitating job growth, and ensuring that Americans have investment opportunities.  </w:t>
      </w:r>
    </w:p>
    <w:p w:rsidR="00416AD4" w:rsidRPr="00416AD4" w:rsidRDefault="00416AD4" w:rsidP="00416AD4">
      <w:pPr>
        <w:spacing w:after="0" w:line="240" w:lineRule="auto"/>
        <w:rPr>
          <w:rFonts w:ascii="Arial" w:hAnsi="Arial" w:cs="Arial"/>
          <w:sz w:val="24"/>
          <w:szCs w:val="52"/>
        </w:rPr>
      </w:pPr>
    </w:p>
    <w:p w:rsidR="00416AD4" w:rsidRPr="00416AD4" w:rsidRDefault="00416AD4" w:rsidP="00416AD4">
      <w:pPr>
        <w:spacing w:after="0" w:line="240" w:lineRule="auto"/>
        <w:rPr>
          <w:rFonts w:ascii="Arial" w:hAnsi="Arial" w:cs="Arial"/>
          <w:sz w:val="24"/>
          <w:szCs w:val="52"/>
        </w:rPr>
      </w:pPr>
      <w:r>
        <w:rPr>
          <w:rFonts w:ascii="Arial" w:hAnsi="Arial" w:cs="Arial"/>
          <w:sz w:val="24"/>
          <w:szCs w:val="52"/>
        </w:rPr>
        <w:lastRenderedPageBreak/>
        <w:t>“</w:t>
      </w:r>
      <w:r w:rsidRPr="00416AD4">
        <w:rPr>
          <w:rFonts w:ascii="Arial" w:hAnsi="Arial" w:cs="Arial"/>
          <w:sz w:val="24"/>
          <w:szCs w:val="52"/>
        </w:rPr>
        <w:t xml:space="preserve">I am interested in hearing your ideas of how we can encourage more companies to go public without discouraging the availability of capital in the private market.  </w:t>
      </w:r>
    </w:p>
    <w:p w:rsidR="00416AD4" w:rsidRPr="00416AD4" w:rsidRDefault="00416AD4" w:rsidP="00416AD4">
      <w:pPr>
        <w:spacing w:after="0" w:line="240" w:lineRule="auto"/>
        <w:rPr>
          <w:rFonts w:ascii="Arial" w:hAnsi="Arial" w:cs="Arial"/>
          <w:sz w:val="24"/>
          <w:szCs w:val="52"/>
        </w:rPr>
      </w:pPr>
    </w:p>
    <w:p w:rsidR="00416AD4" w:rsidRPr="00416AD4" w:rsidRDefault="00416AD4" w:rsidP="00416AD4">
      <w:pPr>
        <w:spacing w:after="0" w:line="240" w:lineRule="auto"/>
        <w:rPr>
          <w:rFonts w:ascii="Arial" w:hAnsi="Arial" w:cs="Arial"/>
          <w:sz w:val="24"/>
          <w:szCs w:val="52"/>
        </w:rPr>
      </w:pPr>
      <w:r>
        <w:rPr>
          <w:rFonts w:ascii="Arial" w:hAnsi="Arial" w:cs="Arial"/>
          <w:sz w:val="24"/>
          <w:szCs w:val="52"/>
        </w:rPr>
        <w:t>“</w:t>
      </w:r>
      <w:r w:rsidRPr="00416AD4">
        <w:rPr>
          <w:rFonts w:ascii="Arial" w:hAnsi="Arial" w:cs="Arial"/>
          <w:sz w:val="24"/>
          <w:szCs w:val="52"/>
        </w:rPr>
        <w:t>The Senate recently passed several bipartisan securities bills, and we would be interested in additional ways Congress can improve securities laws to help all Americans.</w:t>
      </w:r>
    </w:p>
    <w:p w:rsidR="00416AD4" w:rsidRPr="00416AD4" w:rsidRDefault="00416AD4" w:rsidP="00416AD4">
      <w:pPr>
        <w:spacing w:after="0" w:line="240" w:lineRule="auto"/>
        <w:rPr>
          <w:rFonts w:ascii="Arial" w:hAnsi="Arial" w:cs="Arial"/>
          <w:sz w:val="24"/>
          <w:szCs w:val="52"/>
        </w:rPr>
      </w:pPr>
    </w:p>
    <w:p w:rsidR="003D23EE" w:rsidRDefault="00416AD4" w:rsidP="00416AD4">
      <w:pPr>
        <w:spacing w:after="0" w:line="240" w:lineRule="auto"/>
        <w:rPr>
          <w:rFonts w:ascii="Arial" w:hAnsi="Arial" w:cs="Arial"/>
          <w:sz w:val="24"/>
          <w:szCs w:val="52"/>
        </w:rPr>
      </w:pPr>
      <w:r>
        <w:rPr>
          <w:rFonts w:ascii="Arial" w:hAnsi="Arial" w:cs="Arial"/>
          <w:sz w:val="24"/>
          <w:szCs w:val="52"/>
        </w:rPr>
        <w:t>“</w:t>
      </w:r>
      <w:r w:rsidRPr="00416AD4">
        <w:rPr>
          <w:rFonts w:ascii="Arial" w:hAnsi="Arial" w:cs="Arial"/>
          <w:sz w:val="24"/>
          <w:szCs w:val="52"/>
        </w:rPr>
        <w:t>I look forward to hearing your thoughts on these issues and the future agenda of the Commission.</w:t>
      </w:r>
      <w:r w:rsidR="00ED3FEB">
        <w:rPr>
          <w:rFonts w:ascii="Arial" w:hAnsi="Arial" w:cs="Arial"/>
          <w:sz w:val="24"/>
          <w:szCs w:val="52"/>
        </w:rPr>
        <w:t>”</w:t>
      </w:r>
      <w:r w:rsidR="008345F7" w:rsidRPr="008345F7">
        <w:rPr>
          <w:rFonts w:ascii="Arial" w:hAnsi="Arial" w:cs="Arial"/>
          <w:sz w:val="24"/>
          <w:szCs w:val="52"/>
        </w:rPr>
        <w:t xml:space="preserve">  </w:t>
      </w:r>
    </w:p>
    <w:p w:rsidR="008345F7" w:rsidRDefault="008345F7" w:rsidP="00D25DA7">
      <w:pPr>
        <w:spacing w:after="0" w:line="240" w:lineRule="auto"/>
        <w:rPr>
          <w:rFonts w:ascii="Arial" w:hAnsi="Arial" w:cs="Arial"/>
          <w:sz w:val="24"/>
          <w:szCs w:val="52"/>
        </w:rPr>
      </w:pPr>
    </w:p>
    <w:p w:rsidR="003410FE" w:rsidRPr="002E01AB" w:rsidRDefault="003410FE" w:rsidP="00D25DA7">
      <w:pPr>
        <w:spacing w:after="0" w:line="240" w:lineRule="auto"/>
        <w:jc w:val="center"/>
        <w:rPr>
          <w:rFonts w:ascii="Arial" w:hAnsi="Arial" w:cs="Arial"/>
          <w:sz w:val="24"/>
          <w:szCs w:val="24"/>
        </w:rPr>
      </w:pPr>
      <w:r>
        <w:rPr>
          <w:rFonts w:ascii="Arial" w:hAnsi="Arial" w:cs="Arial"/>
          <w:sz w:val="24"/>
          <w:szCs w:val="52"/>
        </w:rPr>
        <w:t>###</w:t>
      </w:r>
    </w:p>
    <w:sectPr w:rsidR="003410FE" w:rsidRPr="002E01A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08E3" w:rsidRDefault="00D608E3" w:rsidP="00C2353A">
      <w:pPr>
        <w:spacing w:after="0" w:line="240" w:lineRule="auto"/>
      </w:pPr>
      <w:r>
        <w:separator/>
      </w:r>
    </w:p>
  </w:endnote>
  <w:endnote w:type="continuationSeparator" w:id="0">
    <w:p w:rsidR="00D608E3" w:rsidRDefault="00D608E3" w:rsidP="00C23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9894853"/>
      <w:docPartObj>
        <w:docPartGallery w:val="Page Numbers (Bottom of Page)"/>
        <w:docPartUnique/>
      </w:docPartObj>
    </w:sdtPr>
    <w:sdtEndPr>
      <w:rPr>
        <w:noProof/>
      </w:rPr>
    </w:sdtEndPr>
    <w:sdtContent>
      <w:p w:rsidR="00A03CAB" w:rsidRDefault="00A03CAB">
        <w:pPr>
          <w:pStyle w:val="Footer"/>
          <w:jc w:val="center"/>
        </w:pPr>
        <w:r>
          <w:fldChar w:fldCharType="begin"/>
        </w:r>
        <w:r>
          <w:instrText xml:space="preserve"> PAGE   \* MERGEFORMAT </w:instrText>
        </w:r>
        <w:r>
          <w:fldChar w:fldCharType="separate"/>
        </w:r>
        <w:r w:rsidR="00416AD4">
          <w:rPr>
            <w:noProof/>
          </w:rPr>
          <w:t>1</w:t>
        </w:r>
        <w:r>
          <w:rPr>
            <w:noProof/>
          </w:rPr>
          <w:fldChar w:fldCharType="end"/>
        </w:r>
      </w:p>
    </w:sdtContent>
  </w:sdt>
  <w:p w:rsidR="00A03CAB" w:rsidRDefault="00A03C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08E3" w:rsidRDefault="00D608E3" w:rsidP="00C2353A">
      <w:pPr>
        <w:spacing w:after="0" w:line="240" w:lineRule="auto"/>
      </w:pPr>
      <w:r>
        <w:separator/>
      </w:r>
    </w:p>
  </w:footnote>
  <w:footnote w:type="continuationSeparator" w:id="0">
    <w:p w:rsidR="00D608E3" w:rsidRDefault="00D608E3" w:rsidP="00C235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53A" w:rsidRPr="001B5827" w:rsidRDefault="00C2353A" w:rsidP="00C2353A">
    <w:pPr>
      <w:pStyle w:val="Header"/>
      <w:jc w:val="center"/>
      <w:rPr>
        <w:rFonts w:ascii="Arial" w:hAnsi="Arial" w:cs="Arial"/>
        <w:b/>
        <w:sz w:val="28"/>
        <w:szCs w:val="28"/>
      </w:rPr>
    </w:pPr>
    <w:r w:rsidRPr="001B5827">
      <w:rPr>
        <w:rFonts w:ascii="Arial" w:hAnsi="Arial" w:cs="Arial"/>
        <w:b/>
        <w:sz w:val="28"/>
        <w:szCs w:val="28"/>
      </w:rPr>
      <w:t>Statement of Senator Mike Crapo</w:t>
    </w:r>
  </w:p>
  <w:p w:rsidR="00C2353A" w:rsidRPr="001B5827" w:rsidRDefault="00C2353A" w:rsidP="00C2353A">
    <w:pPr>
      <w:pStyle w:val="Header"/>
      <w:jc w:val="center"/>
      <w:rPr>
        <w:rFonts w:ascii="Arial" w:hAnsi="Arial" w:cs="Arial"/>
        <w:b/>
        <w:sz w:val="28"/>
        <w:szCs w:val="28"/>
      </w:rPr>
    </w:pPr>
    <w:r w:rsidRPr="001B5827">
      <w:rPr>
        <w:rFonts w:ascii="Arial" w:hAnsi="Arial" w:cs="Arial"/>
        <w:b/>
        <w:sz w:val="28"/>
        <w:szCs w:val="28"/>
      </w:rPr>
      <w:t>Committee on Banking, Housing, and Urban Affairs</w:t>
    </w:r>
  </w:p>
  <w:p w:rsidR="00C2353A" w:rsidRDefault="003410FE" w:rsidP="00C2353A">
    <w:pPr>
      <w:pStyle w:val="Header"/>
      <w:jc w:val="center"/>
      <w:rPr>
        <w:rFonts w:ascii="Arial" w:hAnsi="Arial" w:cs="Arial"/>
        <w:b/>
        <w:sz w:val="28"/>
        <w:szCs w:val="28"/>
      </w:rPr>
    </w:pPr>
    <w:r>
      <w:rPr>
        <w:rFonts w:ascii="Arial" w:hAnsi="Arial" w:cs="Arial"/>
        <w:b/>
        <w:sz w:val="28"/>
        <w:szCs w:val="28"/>
      </w:rPr>
      <w:t xml:space="preserve">September </w:t>
    </w:r>
    <w:r w:rsidR="00416AD4">
      <w:rPr>
        <w:rFonts w:ascii="Arial" w:hAnsi="Arial" w:cs="Arial"/>
        <w:b/>
        <w:sz w:val="28"/>
        <w:szCs w:val="28"/>
      </w:rPr>
      <w:t>26</w:t>
    </w:r>
    <w:r w:rsidR="00C2353A" w:rsidRPr="001B5827">
      <w:rPr>
        <w:rFonts w:ascii="Arial" w:hAnsi="Arial" w:cs="Arial"/>
        <w:b/>
        <w:sz w:val="28"/>
        <w:szCs w:val="28"/>
      </w:rPr>
      <w:t>, 2017</w:t>
    </w:r>
  </w:p>
  <w:p w:rsidR="00C2353A" w:rsidRDefault="00C2353A">
    <w:pPr>
      <w:pStyle w:val="Header"/>
    </w:pPr>
  </w:p>
  <w:p w:rsidR="00C2353A" w:rsidRDefault="00C235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061B"/>
    <w:multiLevelType w:val="hybridMultilevel"/>
    <w:tmpl w:val="CD442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996FA1"/>
    <w:multiLevelType w:val="hybridMultilevel"/>
    <w:tmpl w:val="7C647264"/>
    <w:lvl w:ilvl="0" w:tplc="022CB67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2C537C"/>
    <w:multiLevelType w:val="hybridMultilevel"/>
    <w:tmpl w:val="03DE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6F02EB"/>
    <w:multiLevelType w:val="hybridMultilevel"/>
    <w:tmpl w:val="2EE692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9B80F7E"/>
    <w:multiLevelType w:val="hybridMultilevel"/>
    <w:tmpl w:val="FB963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
  </w:num>
  <w:num w:numId="4">
    <w:abstractNumId w:val="0"/>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53A"/>
    <w:rsid w:val="000C585D"/>
    <w:rsid w:val="00147D0A"/>
    <w:rsid w:val="00192E82"/>
    <w:rsid w:val="001D167E"/>
    <w:rsid w:val="00217DC8"/>
    <w:rsid w:val="002C06B6"/>
    <w:rsid w:val="002C58FA"/>
    <w:rsid w:val="002C6A5F"/>
    <w:rsid w:val="002D3F57"/>
    <w:rsid w:val="002E01AB"/>
    <w:rsid w:val="003216A6"/>
    <w:rsid w:val="00330EFE"/>
    <w:rsid w:val="003410FE"/>
    <w:rsid w:val="00344EAF"/>
    <w:rsid w:val="003734B1"/>
    <w:rsid w:val="00373CFA"/>
    <w:rsid w:val="00382FFB"/>
    <w:rsid w:val="0038384D"/>
    <w:rsid w:val="003A2781"/>
    <w:rsid w:val="003C78A3"/>
    <w:rsid w:val="003D23EE"/>
    <w:rsid w:val="003E29E5"/>
    <w:rsid w:val="00416AD4"/>
    <w:rsid w:val="00475279"/>
    <w:rsid w:val="00483E87"/>
    <w:rsid w:val="004E029A"/>
    <w:rsid w:val="004E206B"/>
    <w:rsid w:val="00507165"/>
    <w:rsid w:val="00510436"/>
    <w:rsid w:val="00565541"/>
    <w:rsid w:val="005711E5"/>
    <w:rsid w:val="005E373E"/>
    <w:rsid w:val="005F1743"/>
    <w:rsid w:val="00611269"/>
    <w:rsid w:val="00633069"/>
    <w:rsid w:val="0066647A"/>
    <w:rsid w:val="00684C93"/>
    <w:rsid w:val="0069106A"/>
    <w:rsid w:val="006C6E48"/>
    <w:rsid w:val="006E6778"/>
    <w:rsid w:val="007859C7"/>
    <w:rsid w:val="007D256F"/>
    <w:rsid w:val="007D419A"/>
    <w:rsid w:val="008345F7"/>
    <w:rsid w:val="008A7309"/>
    <w:rsid w:val="00924867"/>
    <w:rsid w:val="00934E1D"/>
    <w:rsid w:val="009563FC"/>
    <w:rsid w:val="009720DA"/>
    <w:rsid w:val="00A03CAB"/>
    <w:rsid w:val="00A16012"/>
    <w:rsid w:val="00A6662F"/>
    <w:rsid w:val="00A72C1D"/>
    <w:rsid w:val="00A81B70"/>
    <w:rsid w:val="00A90008"/>
    <w:rsid w:val="00B5336B"/>
    <w:rsid w:val="00B67769"/>
    <w:rsid w:val="00BB0470"/>
    <w:rsid w:val="00BB2301"/>
    <w:rsid w:val="00BC261F"/>
    <w:rsid w:val="00BD0035"/>
    <w:rsid w:val="00C2353A"/>
    <w:rsid w:val="00C805A4"/>
    <w:rsid w:val="00CE2BC5"/>
    <w:rsid w:val="00D25DA7"/>
    <w:rsid w:val="00D608E3"/>
    <w:rsid w:val="00D6444A"/>
    <w:rsid w:val="00DB7416"/>
    <w:rsid w:val="00DC52E1"/>
    <w:rsid w:val="00DF7F67"/>
    <w:rsid w:val="00E24DA6"/>
    <w:rsid w:val="00E47952"/>
    <w:rsid w:val="00E96C31"/>
    <w:rsid w:val="00ED3FEB"/>
    <w:rsid w:val="00F33C14"/>
    <w:rsid w:val="00F4634D"/>
    <w:rsid w:val="00F52AB0"/>
    <w:rsid w:val="00FD5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2AA81"/>
  <w15:chartTrackingRefBased/>
  <w15:docId w15:val="{E61552E6-227B-4596-B559-454FA4998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35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353A"/>
  </w:style>
  <w:style w:type="paragraph" w:styleId="Footer">
    <w:name w:val="footer"/>
    <w:basedOn w:val="Normal"/>
    <w:link w:val="FooterChar"/>
    <w:uiPriority w:val="99"/>
    <w:unhideWhenUsed/>
    <w:rsid w:val="00C235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353A"/>
  </w:style>
  <w:style w:type="paragraph" w:styleId="ListParagraph">
    <w:name w:val="List Paragraph"/>
    <w:basedOn w:val="Normal"/>
    <w:uiPriority w:val="34"/>
    <w:qFormat/>
    <w:rsid w:val="00C2353A"/>
    <w:pPr>
      <w:ind w:left="720"/>
      <w:contextualSpacing/>
    </w:pPr>
  </w:style>
  <w:style w:type="paragraph" w:styleId="BalloonText">
    <w:name w:val="Balloon Text"/>
    <w:basedOn w:val="Normal"/>
    <w:link w:val="BalloonTextChar"/>
    <w:uiPriority w:val="99"/>
    <w:semiHidden/>
    <w:unhideWhenUsed/>
    <w:rsid w:val="003838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38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956589">
      <w:bodyDiv w:val="1"/>
      <w:marLeft w:val="0"/>
      <w:marRight w:val="0"/>
      <w:marTop w:val="0"/>
      <w:marBottom w:val="0"/>
      <w:divBdr>
        <w:top w:val="none" w:sz="0" w:space="0" w:color="auto"/>
        <w:left w:val="none" w:sz="0" w:space="0" w:color="auto"/>
        <w:bottom w:val="none" w:sz="0" w:space="0" w:color="auto"/>
        <w:right w:val="none" w:sz="0" w:space="0" w:color="auto"/>
      </w:divBdr>
    </w:div>
    <w:div w:id="212237861">
      <w:bodyDiv w:val="1"/>
      <w:marLeft w:val="0"/>
      <w:marRight w:val="0"/>
      <w:marTop w:val="0"/>
      <w:marBottom w:val="0"/>
      <w:divBdr>
        <w:top w:val="none" w:sz="0" w:space="0" w:color="auto"/>
        <w:left w:val="none" w:sz="0" w:space="0" w:color="auto"/>
        <w:bottom w:val="none" w:sz="0" w:space="0" w:color="auto"/>
        <w:right w:val="none" w:sz="0" w:space="0" w:color="auto"/>
      </w:divBdr>
    </w:div>
    <w:div w:id="385764428">
      <w:bodyDiv w:val="1"/>
      <w:marLeft w:val="0"/>
      <w:marRight w:val="0"/>
      <w:marTop w:val="0"/>
      <w:marBottom w:val="0"/>
      <w:divBdr>
        <w:top w:val="none" w:sz="0" w:space="0" w:color="auto"/>
        <w:left w:val="none" w:sz="0" w:space="0" w:color="auto"/>
        <w:bottom w:val="none" w:sz="0" w:space="0" w:color="auto"/>
        <w:right w:val="none" w:sz="0" w:space="0" w:color="auto"/>
      </w:divBdr>
    </w:div>
    <w:div w:id="834225827">
      <w:bodyDiv w:val="1"/>
      <w:marLeft w:val="0"/>
      <w:marRight w:val="0"/>
      <w:marTop w:val="0"/>
      <w:marBottom w:val="0"/>
      <w:divBdr>
        <w:top w:val="none" w:sz="0" w:space="0" w:color="auto"/>
        <w:left w:val="none" w:sz="0" w:space="0" w:color="auto"/>
        <w:bottom w:val="none" w:sz="0" w:space="0" w:color="auto"/>
        <w:right w:val="none" w:sz="0" w:space="0" w:color="auto"/>
      </w:divBdr>
    </w:div>
    <w:div w:id="893085977">
      <w:bodyDiv w:val="1"/>
      <w:marLeft w:val="0"/>
      <w:marRight w:val="0"/>
      <w:marTop w:val="0"/>
      <w:marBottom w:val="0"/>
      <w:divBdr>
        <w:top w:val="none" w:sz="0" w:space="0" w:color="auto"/>
        <w:left w:val="none" w:sz="0" w:space="0" w:color="auto"/>
        <w:bottom w:val="none" w:sz="0" w:space="0" w:color="auto"/>
        <w:right w:val="none" w:sz="0" w:space="0" w:color="auto"/>
      </w:divBdr>
    </w:div>
    <w:div w:id="1102604425">
      <w:bodyDiv w:val="1"/>
      <w:marLeft w:val="0"/>
      <w:marRight w:val="0"/>
      <w:marTop w:val="0"/>
      <w:marBottom w:val="0"/>
      <w:divBdr>
        <w:top w:val="none" w:sz="0" w:space="0" w:color="auto"/>
        <w:left w:val="none" w:sz="0" w:space="0" w:color="auto"/>
        <w:bottom w:val="none" w:sz="0" w:space="0" w:color="auto"/>
        <w:right w:val="none" w:sz="0" w:space="0" w:color="auto"/>
      </w:divBdr>
    </w:div>
    <w:div w:id="1158426178">
      <w:bodyDiv w:val="1"/>
      <w:marLeft w:val="0"/>
      <w:marRight w:val="0"/>
      <w:marTop w:val="0"/>
      <w:marBottom w:val="0"/>
      <w:divBdr>
        <w:top w:val="none" w:sz="0" w:space="0" w:color="auto"/>
        <w:left w:val="none" w:sz="0" w:space="0" w:color="auto"/>
        <w:bottom w:val="none" w:sz="0" w:space="0" w:color="auto"/>
        <w:right w:val="none" w:sz="0" w:space="0" w:color="auto"/>
      </w:divBdr>
    </w:div>
    <w:div w:id="1308627360">
      <w:bodyDiv w:val="1"/>
      <w:marLeft w:val="0"/>
      <w:marRight w:val="0"/>
      <w:marTop w:val="0"/>
      <w:marBottom w:val="0"/>
      <w:divBdr>
        <w:top w:val="none" w:sz="0" w:space="0" w:color="auto"/>
        <w:left w:val="none" w:sz="0" w:space="0" w:color="auto"/>
        <w:bottom w:val="none" w:sz="0" w:space="0" w:color="auto"/>
        <w:right w:val="none" w:sz="0" w:space="0" w:color="auto"/>
      </w:divBdr>
    </w:div>
    <w:div w:id="1415515145">
      <w:bodyDiv w:val="1"/>
      <w:marLeft w:val="0"/>
      <w:marRight w:val="0"/>
      <w:marTop w:val="0"/>
      <w:marBottom w:val="0"/>
      <w:divBdr>
        <w:top w:val="none" w:sz="0" w:space="0" w:color="auto"/>
        <w:left w:val="none" w:sz="0" w:space="0" w:color="auto"/>
        <w:bottom w:val="none" w:sz="0" w:space="0" w:color="auto"/>
        <w:right w:val="none" w:sz="0" w:space="0" w:color="auto"/>
      </w:divBdr>
    </w:div>
    <w:div w:id="1472357334">
      <w:bodyDiv w:val="1"/>
      <w:marLeft w:val="0"/>
      <w:marRight w:val="0"/>
      <w:marTop w:val="0"/>
      <w:marBottom w:val="0"/>
      <w:divBdr>
        <w:top w:val="none" w:sz="0" w:space="0" w:color="auto"/>
        <w:left w:val="none" w:sz="0" w:space="0" w:color="auto"/>
        <w:bottom w:val="none" w:sz="0" w:space="0" w:color="auto"/>
        <w:right w:val="none" w:sz="0" w:space="0" w:color="auto"/>
      </w:divBdr>
    </w:div>
    <w:div w:id="1653212679">
      <w:bodyDiv w:val="1"/>
      <w:marLeft w:val="0"/>
      <w:marRight w:val="0"/>
      <w:marTop w:val="0"/>
      <w:marBottom w:val="0"/>
      <w:divBdr>
        <w:top w:val="none" w:sz="0" w:space="0" w:color="auto"/>
        <w:left w:val="none" w:sz="0" w:space="0" w:color="auto"/>
        <w:bottom w:val="none" w:sz="0" w:space="0" w:color="auto"/>
        <w:right w:val="none" w:sz="0" w:space="0" w:color="auto"/>
      </w:divBdr>
    </w:div>
    <w:div w:id="1794900441">
      <w:bodyDiv w:val="1"/>
      <w:marLeft w:val="0"/>
      <w:marRight w:val="0"/>
      <w:marTop w:val="0"/>
      <w:marBottom w:val="0"/>
      <w:divBdr>
        <w:top w:val="none" w:sz="0" w:space="0" w:color="auto"/>
        <w:left w:val="none" w:sz="0" w:space="0" w:color="auto"/>
        <w:bottom w:val="none" w:sz="0" w:space="0" w:color="auto"/>
        <w:right w:val="none" w:sz="0" w:space="0" w:color="auto"/>
      </w:divBdr>
    </w:div>
    <w:div w:id="1872497186">
      <w:bodyDiv w:val="1"/>
      <w:marLeft w:val="0"/>
      <w:marRight w:val="0"/>
      <w:marTop w:val="0"/>
      <w:marBottom w:val="0"/>
      <w:divBdr>
        <w:top w:val="none" w:sz="0" w:space="0" w:color="auto"/>
        <w:left w:val="none" w:sz="0" w:space="0" w:color="auto"/>
        <w:bottom w:val="none" w:sz="0" w:space="0" w:color="auto"/>
        <w:right w:val="none" w:sz="0" w:space="0" w:color="auto"/>
      </w:divBdr>
    </w:div>
    <w:div w:id="2002347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A3951-A5D1-4FB4-9B99-56B6AA6F4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659</Words>
  <Characters>3757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Sawyer, Jared (Banking)</dc:creator>
  <cp:keywords/>
  <dc:description/>
  <cp:lastModifiedBy>Critchfield, Amanda (Banking)</cp:lastModifiedBy>
  <cp:revision>2</cp:revision>
  <cp:lastPrinted>2017-03-22T19:17:00Z</cp:lastPrinted>
  <dcterms:created xsi:type="dcterms:W3CDTF">2017-09-25T20:30:00Z</dcterms:created>
  <dcterms:modified xsi:type="dcterms:W3CDTF">2017-09-25T20:30:00Z</dcterms:modified>
</cp:coreProperties>
</file>